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淠河总干渠东部新城段水利收尾工程竣工财务</w:t>
      </w:r>
    </w:p>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eastAsia" w:ascii="方正小标宋简体" w:hAnsi="方正小标宋简体" w:eastAsia="方正小标宋简体" w:cs="方正小标宋简体"/>
          <w:b w:val="0"/>
          <w:bCs w:val="0"/>
          <w:sz w:val="44"/>
          <w:szCs w:val="44"/>
          <w:lang w:val="en-US" w:eastAsia="zh-CN"/>
        </w:rPr>
        <w:t>审计服务采购文件</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二〇二六年一月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31299"/>
      <w:bookmarkStart w:id="1" w:name="_Toc13207"/>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淠河总干渠东部新城段水利收尾工程竣工</w:t>
      </w:r>
      <w:r>
        <w:rPr>
          <w:rFonts w:hint="eastAsia" w:ascii="宋体" w:hAnsi="宋体"/>
          <w:color w:val="000000"/>
          <w:sz w:val="24"/>
          <w:highlight w:val="none"/>
          <w:lang w:val="en" w:eastAsia="zh-CN"/>
        </w:rPr>
        <w:t>财务</w:t>
      </w:r>
      <w:r>
        <w:rPr>
          <w:rFonts w:hint="default" w:ascii="宋体" w:hAnsi="宋体"/>
          <w:color w:val="000000"/>
          <w:sz w:val="24"/>
          <w:highlight w:val="none"/>
          <w:lang w:val="en" w:eastAsia="zh-CN"/>
        </w:rPr>
        <w:t>审计服务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18151"/>
      <w:bookmarkStart w:id="3" w:name="_Toc6022"/>
      <w:bookmarkStart w:id="4" w:name="_Toc8599"/>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淠河总干渠东部新城段水利收尾工程竣工财务审计服务</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eastAsia" w:ascii="宋体" w:hAnsi="宋体"/>
          <w:color w:val="000000"/>
          <w:sz w:val="24"/>
          <w:highlight w:val="none"/>
          <w:u w:val="single"/>
          <w:lang w:val="en-US" w:eastAsia="zh-CN"/>
        </w:rPr>
        <w:t>46800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13738"/>
      <w:bookmarkStart w:id="6" w:name="_Toc21260"/>
      <w:bookmarkStart w:id="7" w:name="_Toc28728"/>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w:t>
      </w:r>
      <w:r>
        <w:rPr>
          <w:rFonts w:hint="eastAsia" w:ascii="宋体" w:hAnsi="宋体"/>
          <w:color w:val="000000"/>
          <w:sz w:val="24"/>
          <w:highlight w:val="none"/>
          <w:lang w:eastAsia="zh-CN"/>
        </w:rPr>
        <w:t>不</w:t>
      </w:r>
      <w:r>
        <w:rPr>
          <w:rFonts w:hint="eastAsia" w:ascii="宋体" w:hAnsi="宋体"/>
          <w:color w:val="000000"/>
          <w:sz w:val="24"/>
          <w:highlight w:val="none"/>
        </w:rPr>
        <w:t>接受联合体投标，不允许转包、分包；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3.近3年来承担过概算总投资3000万元及以上水利工程类项目竣工财务决算审计，且信誉良好；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项目负责人取得注册会计师职业资格满5年（含5年）。</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32625"/>
      <w:bookmarkStart w:id="9" w:name="_Toc21541"/>
      <w:bookmarkStart w:id="10" w:name="_Toc6138"/>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11056"/>
      <w:bookmarkStart w:id="12" w:name="_Toc8192"/>
      <w:bookmarkStart w:id="13" w:name="_Toc7718"/>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12620"/>
      <w:bookmarkStart w:id="15" w:name="_Toc20602"/>
      <w:bookmarkStart w:id="16" w:name="_Toc25545"/>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8</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021"/>
      <w:bookmarkStart w:id="18" w:name="_Toc17739"/>
      <w:bookmarkStart w:id="19" w:name="_Toc21805"/>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26224"/>
      <w:bookmarkStart w:id="21" w:name="_Toc630"/>
      <w:bookmarkStart w:id="22" w:name="_Toc9886"/>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淠河总干渠东部新城段水利收尾工程竣工财务审计服务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出具正式审计报告等全部成果</w:t>
            </w:r>
            <w:r>
              <w:rPr>
                <w:rFonts w:hint="eastAsia" w:ascii="宋体" w:hAnsi="宋体" w:eastAsia="宋体" w:cs="宋体"/>
                <w:color w:val="000000"/>
                <w:sz w:val="21"/>
                <w:szCs w:val="21"/>
                <w:highlight w:val="none"/>
                <w:lang w:val="zh-CN"/>
              </w:rPr>
              <w:t>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2026年1月15日11:00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rPr>
          <w:rFonts w:hint="eastAsia" w:ascii="宋体" w:hAnsi="宋体"/>
          <w:b/>
          <w:szCs w:val="32"/>
          <w:highlight w:val="none"/>
        </w:rPr>
      </w:pPr>
      <w:bookmarkStart w:id="24" w:name="_Toc422669753"/>
      <w:bookmarkStart w:id="25" w:name="_Toc9846"/>
      <w:bookmarkStart w:id="26" w:name="_Toc31499"/>
      <w:bookmarkStart w:id="27" w:name="_Toc7168"/>
      <w:r>
        <w:rPr>
          <w:rFonts w:hint="eastAsia" w:ascii="宋体" w:hAnsi="宋体"/>
          <w:b/>
          <w:szCs w:val="32"/>
          <w:highlight w:val="none"/>
        </w:rPr>
        <w:br w:type="page"/>
      </w:r>
    </w:p>
    <w:p>
      <w:pPr>
        <w:pStyle w:val="2"/>
        <w:spacing w:line="360" w:lineRule="auto"/>
        <w:jc w:val="center"/>
        <w:rPr>
          <w:rFonts w:hint="eastAsia" w:ascii="宋体" w:hAnsi="宋体"/>
          <w:b/>
          <w:szCs w:val="32"/>
          <w:highlight w:val="none"/>
        </w:rPr>
      </w:pPr>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21841"/>
      <w:bookmarkStart w:id="29" w:name="_Toc16765"/>
      <w:bookmarkStart w:id="30" w:name="_Toc23528"/>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spacing w:line="480" w:lineRule="exact"/>
        <w:ind w:firstLine="438" w:firstLineChars="200"/>
        <w:rPr>
          <w:rFonts w:hint="eastAsia" w:ascii="宋体" w:hAnsi="宋体" w:eastAsia="宋体" w:cs="Times New Roman"/>
          <w:color w:val="000000"/>
          <w:sz w:val="24"/>
          <w:szCs w:val="24"/>
          <w:highlight w:val="none"/>
          <w:lang w:val="en-US" w:eastAsia="zh-CN"/>
        </w:rPr>
      </w:pPr>
      <w:r>
        <w:rPr>
          <w:rFonts w:hint="default" w:ascii="宋体" w:hAnsi="宋体"/>
          <w:color w:val="000000"/>
          <w:sz w:val="24"/>
          <w:highlight w:val="none"/>
          <w:lang w:val="en" w:eastAsia="zh-CN"/>
        </w:rPr>
        <w:t>淠河总干渠东部新城段水利收尾工程</w:t>
      </w:r>
      <w:r>
        <w:rPr>
          <w:rFonts w:hint="eastAsia" w:ascii="宋体" w:hAnsi="宋体"/>
          <w:color w:val="000000"/>
          <w:sz w:val="24"/>
          <w:highlight w:val="none"/>
          <w:lang w:val="en" w:eastAsia="zh-CN"/>
        </w:rPr>
        <w:t>概算批复投资</w:t>
      </w:r>
      <w:r>
        <w:rPr>
          <w:rFonts w:hint="eastAsia" w:ascii="宋体" w:hAnsi="宋体"/>
          <w:color w:val="000000"/>
          <w:sz w:val="24"/>
          <w:highlight w:val="none"/>
          <w:lang w:val="en-US" w:eastAsia="zh-CN"/>
        </w:rPr>
        <w:t>5854.33万元，</w:t>
      </w:r>
      <w:r>
        <w:rPr>
          <w:rFonts w:hint="eastAsia" w:ascii="宋体" w:hAnsi="宋体" w:eastAsia="宋体" w:cs="Times New Roman"/>
          <w:color w:val="000000"/>
          <w:sz w:val="24"/>
          <w:szCs w:val="24"/>
          <w:highlight w:val="none"/>
        </w:rPr>
        <w:t>主要建设内容为：</w:t>
      </w:r>
      <w:r>
        <w:rPr>
          <w:rFonts w:hint="eastAsia" w:ascii="宋体" w:hAnsi="宋体" w:cs="Times New Roman"/>
          <w:color w:val="000000"/>
          <w:sz w:val="24"/>
          <w:szCs w:val="24"/>
          <w:highlight w:val="none"/>
          <w:lang w:eastAsia="zh-CN"/>
        </w:rPr>
        <w:t>对山源河干流部分河道遗留的施工围堰进行清理并清淤，对前期工程未完成的眼线护坡、护岸进行补齐，新建护岸、防汛道路，重建灌溉泵站</w:t>
      </w:r>
      <w:r>
        <w:rPr>
          <w:rFonts w:hint="eastAsia" w:ascii="宋体" w:hAnsi="宋体" w:cs="Times New Roman"/>
          <w:color w:val="000000"/>
          <w:sz w:val="24"/>
          <w:szCs w:val="24"/>
          <w:highlight w:val="none"/>
          <w:lang w:val="en-US" w:eastAsia="zh-CN"/>
        </w:rPr>
        <w:t>1座，新建小高堰渠下涵上游引河口简支式桥梁1座及桥梁上下游护砌、交通桥，新建皋青路过路涵节制闸1座，跨河道倒虹吸1座等</w:t>
      </w:r>
      <w:r>
        <w:rPr>
          <w:rFonts w:hint="eastAsia" w:ascii="宋体" w:hAnsi="宋体" w:cs="Times New Roman"/>
          <w:color w:val="00000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3623"/>
      <w:bookmarkStart w:id="32" w:name="_Toc2600"/>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15583"/>
      <w:bookmarkStart w:id="34" w:name="_Toc25716"/>
      <w:bookmarkStart w:id="35" w:name="_Toc1401"/>
      <w:r>
        <w:rPr>
          <w:rFonts w:hint="eastAsia" w:ascii="宋体" w:hAnsi="宋体"/>
          <w:sz w:val="24"/>
          <w:highlight w:val="none"/>
        </w:rPr>
        <w:t>1、按照《中华人民共和国会计法》《中华人民共和国预算法》《基本建设财务规则》《水利基本建设项目竣工决算审计规程》《中国内部审计准则》等法律法规的要求开展审计，出具竣工决算审计报告。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2、审计内容：（1）建设项目批准及建设管理情况；（2）项目投资计划、资金来源及概算执行情况；（3）基本建设支出情况；（4）土地征用及移民安置资金管理使用情况；（5）未完工程投资及预留费用情况；（6）招标投标及政府采购情况；（7）合同管理及实施情况；(8)建设监理情况；(9)内部财务管理情况；（10）交付使用资产情况；（11)基本建设收入情况；（12）历次审计检查情况；（13）财务竣工决算编制情况；（14）其他与该项目相关的情况。</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4、项目组成员不少于5人，其中至少含1名注册会计师（执业满5年）。</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016280"/>
      <w:bookmarkStart w:id="37" w:name="_Toc427106469"/>
      <w:bookmarkStart w:id="38" w:name="_Toc12468"/>
      <w:bookmarkStart w:id="39" w:name="_Toc14523"/>
      <w:bookmarkStart w:id="40" w:name="_Toc4452"/>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24086"/>
      <w:bookmarkStart w:id="42" w:name="_Toc29235"/>
      <w:bookmarkStart w:id="43" w:name="_Toc14989"/>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提供满5年</w:t>
            </w:r>
            <w:r>
              <w:rPr>
                <w:rFonts w:hint="eastAsia" w:ascii="宋体" w:hAnsi="宋体" w:eastAsia="宋体" w:cs="宋体"/>
                <w:sz w:val="21"/>
                <w:szCs w:val="21"/>
                <w:highlight w:val="none"/>
                <w:lang w:val="en-US" w:eastAsia="zh-CN"/>
              </w:rPr>
              <w:t>注册会计师证书</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分；审计内容基本全面，方法可行、针对性较强的得</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分；审计内容基本全面，方法基本行、针对性一般的得</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）工程验收和质量管理审计：审计内容全面，方法科学、针对性强的得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）土地征用及移民安置资金审计：审计内容全面，方法科学、针对性强的得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 xml:space="preserve">）设计变更和预备费动用审计：审计内容全面， 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项目竣工财务决算审计业绩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年1月1日以来参与过2项及以上概算总投资3000万元及以上的水利工程类项目竣工财务决算审计；且</w:t>
            </w:r>
            <w:r>
              <w:rPr>
                <w:rFonts w:hint="eastAsia" w:ascii="宋体" w:hAnsi="宋体" w:eastAsia="宋体" w:cs="宋体"/>
                <w:color w:val="auto"/>
                <w:sz w:val="21"/>
                <w:szCs w:val="21"/>
                <w:highlight w:val="none"/>
                <w:lang w:eastAsia="zh-CN"/>
              </w:rPr>
              <w:t>取得注册会计师职业资格满</w:t>
            </w:r>
            <w:r>
              <w:rPr>
                <w:rFonts w:hint="eastAsia" w:ascii="宋体" w:hAnsi="宋体" w:eastAsia="宋体" w:cs="宋体"/>
                <w:color w:val="auto"/>
                <w:sz w:val="21"/>
                <w:szCs w:val="21"/>
                <w:highlight w:val="none"/>
                <w:lang w:val="en-US" w:eastAsia="zh-CN"/>
              </w:rPr>
              <w:t>5年（含5年）的得5分，取得注册会计师职业资格10年以上（含10年）得10分。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除项目负责人外，每配备一名注册会计师得3分，本项最高得6分。每增加一名</w:t>
            </w:r>
            <w:r>
              <w:rPr>
                <w:rFonts w:hint="eastAsia" w:ascii="宋体" w:hAnsi="宋体" w:cs="宋体"/>
                <w:color w:val="auto"/>
                <w:sz w:val="21"/>
                <w:szCs w:val="21"/>
                <w:highlight w:val="none"/>
                <w:lang w:val="en-US" w:eastAsia="zh-CN"/>
              </w:rPr>
              <w:t>中级职称</w:t>
            </w:r>
            <w:r>
              <w:rPr>
                <w:rFonts w:hint="eastAsia" w:ascii="宋体" w:hAnsi="宋体" w:eastAsia="宋体" w:cs="宋体"/>
                <w:color w:val="auto"/>
                <w:sz w:val="21"/>
                <w:szCs w:val="21"/>
                <w:highlight w:val="none"/>
                <w:lang w:val="en-US" w:eastAsia="zh-CN"/>
              </w:rPr>
              <w:t>会计、审计人员的得2分，最多得4分。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929"/>
      <w:bookmarkStart w:id="45" w:name="_Toc28165"/>
      <w:bookmarkStart w:id="46" w:name="_Toc21488"/>
      <w:bookmarkStart w:id="47" w:name="_Toc427106475"/>
      <w:bookmarkStart w:id="48" w:name="_Toc427016286"/>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7580"/>
      <w:bookmarkStart w:id="50" w:name="_Toc1154"/>
      <w:bookmarkStart w:id="51" w:name="_Toc17843"/>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11158"/>
      <w:bookmarkStart w:id="53" w:name="_Toc22557"/>
      <w:bookmarkStart w:id="54" w:name="_Toc3463"/>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1040"/>
      <w:bookmarkStart w:id="56" w:name="_Toc14661"/>
      <w:bookmarkStart w:id="57" w:name="_Toc1065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rPr>
          <w:rFonts w:hint="eastAsia" w:ascii="宋体" w:hAnsi="宋体"/>
          <w:color w:val="000000"/>
          <w:sz w:val="24"/>
          <w:highlight w:val="none"/>
        </w:rPr>
      </w:pPr>
      <w:r>
        <w:rPr>
          <w:rFonts w:hint="eastAsia" w:ascii="宋体" w:hAnsi="宋体"/>
          <w:color w:val="000000"/>
          <w:sz w:val="24"/>
          <w:highlight w:val="none"/>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21881"/>
      <w:bookmarkStart w:id="59" w:name="_Toc7698"/>
      <w:bookmarkStart w:id="60" w:name="_Toc32046"/>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淠河总干渠东部新城段水利收尾工程竣工财务审计服务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6974"/>
      <w:bookmarkStart w:id="63" w:name="_Toc17281"/>
      <w:bookmarkStart w:id="64" w:name="_Toc11120"/>
    </w:p>
    <w:p>
      <w:pPr>
        <w:spacing w:line="360" w:lineRule="auto"/>
        <w:jc w:val="center"/>
        <w:outlineLvl w:val="1"/>
        <w:rPr>
          <w:rFonts w:hint="eastAsia" w:ascii="宋体" w:hAnsi="宋体"/>
          <w:b/>
          <w:color w:val="000000"/>
          <w:sz w:val="24"/>
          <w:highlight w:val="none"/>
        </w:rPr>
      </w:pPr>
    </w:p>
    <w:p>
      <w:pPr>
        <w:rPr>
          <w:rFonts w:hint="eastAsia" w:ascii="宋体" w:hAnsi="宋体"/>
          <w:b/>
          <w:color w:val="000000"/>
          <w:sz w:val="24"/>
          <w:highlight w:val="none"/>
        </w:rPr>
      </w:pPr>
      <w:r>
        <w:rPr>
          <w:rFonts w:hint="eastAsia" w:ascii="宋体" w:hAnsi="宋体"/>
          <w:b/>
          <w:color w:val="000000"/>
          <w:sz w:val="24"/>
          <w:highlight w:val="none"/>
        </w:rPr>
        <w:br w:type="page"/>
      </w: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10878"/>
      <w:bookmarkStart w:id="66" w:name="_Toc427106479"/>
      <w:bookmarkStart w:id="67" w:name="_Toc20277"/>
      <w:bookmarkStart w:id="68" w:name="_Toc28565"/>
      <w:bookmarkStart w:id="69" w:name="_Toc23390"/>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淠河总干渠东部新城段水利收</w:t>
      </w:r>
      <w:bookmarkStart w:id="82" w:name="_GoBack"/>
      <w:bookmarkEnd w:id="82"/>
      <w:r>
        <w:rPr>
          <w:rFonts w:hint="default" w:ascii="宋体" w:hAnsi="宋体" w:cs="Times New Roman"/>
          <w:sz w:val="24"/>
          <w:highlight w:val="none"/>
          <w:lang w:val="en" w:eastAsia="zh-CN"/>
        </w:rPr>
        <w:t>尾工程竣工财务审计服务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26523"/>
      <w:bookmarkStart w:id="74" w:name="_Toc17620"/>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0681"/>
      <w:bookmarkStart w:id="79" w:name="_Toc24183"/>
      <w:bookmarkStart w:id="80" w:name="_Toc2914"/>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eastAsia" w:ascii="宋体" w:hAnsi="宋体" w:eastAsia="宋体"/>
          <w:b/>
          <w:bCs/>
          <w:color w:val="000000"/>
          <w:sz w:val="24"/>
          <w:highlight w:val="none"/>
          <w:lang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淠河总干渠东部新城段水利收尾工程竣工财务审计服务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31436D79"/>
    <w:rsid w:val="328D3FAF"/>
    <w:rsid w:val="339E26D7"/>
    <w:rsid w:val="356D2033"/>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BFD40AE"/>
    <w:rsid w:val="4F095309"/>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4956EB9"/>
    <w:rsid w:val="764F6F63"/>
    <w:rsid w:val="765960C6"/>
    <w:rsid w:val="76A4082D"/>
    <w:rsid w:val="77044AEC"/>
    <w:rsid w:val="775330CB"/>
    <w:rsid w:val="77E54630"/>
    <w:rsid w:val="783F4E51"/>
    <w:rsid w:val="7C7B51D9"/>
    <w:rsid w:val="7CAD7255"/>
    <w:rsid w:val="7CBD4306"/>
    <w:rsid w:val="7CCF0A8E"/>
    <w:rsid w:val="7E3D65EC"/>
    <w:rsid w:val="7FB500E5"/>
    <w:rsid w:val="7FCD00F8"/>
    <w:rsid w:val="7FE65640"/>
    <w:rsid w:val="97DB232D"/>
    <w:rsid w:val="BDFB2350"/>
    <w:rsid w:val="BFEF1FD4"/>
    <w:rsid w:val="BFFDBB4F"/>
    <w:rsid w:val="BFFF276F"/>
    <w:rsid w:val="DA9256E0"/>
    <w:rsid w:val="DE3F1372"/>
    <w:rsid w:val="DE7B7C8A"/>
    <w:rsid w:val="EFBB6447"/>
    <w:rsid w:val="EFFFDE6B"/>
    <w:rsid w:val="F3FB70CA"/>
    <w:rsid w:val="F78BBA9B"/>
    <w:rsid w:val="FBFA3A0A"/>
    <w:rsid w:val="FCFE72DC"/>
    <w:rsid w:val="FD7BEC95"/>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8</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2022-10-10T19:01:00Z</dcterms:created>
  <dc:creator>心想事辰</dc:creator>
  <cp:lastModifiedBy>administrator</cp:lastModifiedBy>
  <cp:lastPrinted>2025-09-22T18:48:00Z</cp:lastPrinted>
  <dcterms:modified xsi:type="dcterms:W3CDTF">2026-01-07T10:24:10Z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